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Guardian Pro GBPUSD1 v4.0</w:t>
      </w:r>
    </w:p>
    <w:p>
      <w:pPr>
        <w:jc w:val="center"/>
      </w:pPr>
      <w:r>
        <w:rPr>
          <w:i/>
        </w:rPr>
        <w:t>Client Installation &amp; Settings Manual (MT5)</w:t>
      </w:r>
    </w:p>
    <w:p/>
    <w:p>
      <w:pPr>
        <w:jc w:val="center"/>
      </w:pPr>
      <w:r>
        <w:rPr>
          <w:b/>
        </w:rPr>
        <w:t xml:space="preserve">Required chart: </w:t>
      </w:r>
      <w:r>
        <w:t>GBPUSD, M5 timeframe</w:t>
      </w:r>
    </w:p>
    <w:p/>
    <w:p>
      <w:pPr>
        <w:pStyle w:val="Heading1"/>
      </w:pPr>
      <w:r>
        <w:t>Quick start</w:t>
      </w:r>
    </w:p>
    <w:p>
      <w:pPr>
        <w:pStyle w:val="ListNumber"/>
      </w:pPr>
      <w:r>
        <w:rPr>
          <w:b/>
        </w:rPr>
        <w:t xml:space="preserve">Copy the EA file into MT5: </w:t>
      </w:r>
    </w:p>
    <w:p>
      <w:pPr>
        <w:pStyle w:val="ListBullet"/>
      </w:pPr>
      <w:r>
        <w:t>If you received an .ex5 file: place it in  MQL5\Experts\ (recommended). If you received .mq5 source: place it in MQL5\Experts\ and compile in MetaEditor to produce an .ex5.</w:t>
      </w:r>
    </w:p>
    <w:p>
      <w:pPr>
        <w:pStyle w:val="ListNumber"/>
      </w:pPr>
      <w:r>
        <w:t>Restart MetaTrader 5 (or right-click the Navigator panel and choose Refresh).</w:t>
      </w:r>
    </w:p>
    <w:p>
      <w:pPr>
        <w:pStyle w:val="ListNumber"/>
      </w:pPr>
      <w:r>
        <w:t>Open GBPUSD and set timeframe to M5.</w:t>
      </w:r>
    </w:p>
    <w:p>
      <w:pPr>
        <w:pStyle w:val="ListNumber"/>
      </w:pPr>
      <w:r>
        <w:t>Drag the EA from Navigator → Expert Advisors onto the chart.</w:t>
      </w:r>
    </w:p>
    <w:p>
      <w:pPr>
        <w:pStyle w:val="ListNumber"/>
      </w:pPr>
      <w:r>
        <w:t>In the EA settings window: enable Algo Trading (top toolbar) and allow live trading in the EA tab.</w:t>
      </w:r>
    </w:p>
    <w:p>
      <w:pPr>
        <w:pStyle w:val="ListNumber"/>
      </w:pPr>
      <w:r>
        <w:t>Click OK. A smiley icon in the top-right of the chart indicates the EA is active.</w:t>
      </w:r>
    </w:p>
    <w:p>
      <w:pPr>
        <w:pStyle w:val="Heading1"/>
      </w:pPr>
      <w:r>
        <w:t>Step-by-step installation</w:t>
      </w:r>
    </w:p>
    <w:p>
      <w:pPr>
        <w:pStyle w:val="Heading2"/>
      </w:pPr>
      <w:r>
        <w:t>1) Place the EA file in the correct folder</w:t>
      </w:r>
    </w:p>
    <w:p>
      <w:r>
        <w:t>In MetaTrader 5: File → Open Data Folder → MQL5 → Experts. Copy the EA file here.</w:t>
      </w:r>
    </w:p>
    <w:p>
      <w:r>
        <w:t>If you only have .mq5 source files, open MetaEditor, compile the file, and confirm an .ex5 is created.</w:t>
      </w:r>
    </w:p>
    <w:p>
      <w:pPr>
        <w:pStyle w:val="Heading2"/>
      </w:pPr>
      <w:r>
        <w:t>2) Enable trading permissions</w:t>
      </w:r>
    </w:p>
    <w:p>
      <w:r>
        <w:t>In MT5, ensure the following are enabled:</w:t>
      </w:r>
    </w:p>
    <w:p>
      <w:pPr>
        <w:pStyle w:val="ListBullet"/>
      </w:pPr>
      <w:r>
        <w:t>Algo Trading button on the top toolbar is ON (green).</w:t>
      </w:r>
    </w:p>
    <w:p>
      <w:pPr>
        <w:pStyle w:val="ListBullet"/>
      </w:pPr>
      <w:r>
        <w:t>Tools → Options → Expert Advisors: allow algorithmic trading, and (if needed) allow WebRequest/DLL per your setup.</w:t>
      </w:r>
    </w:p>
    <w:p>
      <w:pPr>
        <w:pStyle w:val="ListBullet"/>
      </w:pPr>
      <w:r>
        <w:t>When attaching the EA: the Common tab has “Allow Algo Trading” ticked.</w:t>
      </w:r>
    </w:p>
    <w:p>
      <w:pPr>
        <w:pStyle w:val="Heading2"/>
      </w:pPr>
      <w:r>
        <w:t>3) Attach to the correct chart</w:t>
      </w:r>
    </w:p>
    <w:p>
      <w:r>
        <w:t>This EA must be attached to: GBPUSD on the M5 timeframe. Using the wrong symbol or timeframe can change behaviour or stop trading.</w:t>
      </w:r>
    </w:p>
    <w:p>
      <w:pPr>
        <w:pStyle w:val="Heading2"/>
      </w:pPr>
      <w:r>
        <w:t>4) Confirm it is running</w:t>
      </w:r>
    </w:p>
    <w:p>
      <w:r>
        <w:t>After attaching:</w:t>
      </w:r>
    </w:p>
    <w:p>
      <w:pPr>
        <w:pStyle w:val="ListBullet"/>
      </w:pPr>
      <w:r>
        <w:t>Check the Experts tab for any errors (e.g., trading disabled, symbol not available, invalid volume).</w:t>
      </w:r>
    </w:p>
    <w:p>
      <w:pPr>
        <w:pStyle w:val="ListBullet"/>
      </w:pPr>
      <w:r>
        <w:t>Check the chart for the EA name and a smiley face (or status icon).</w:t>
      </w:r>
    </w:p>
    <w:p>
      <w:pPr>
        <w:pStyle w:val="Heading1"/>
      </w:pPr>
      <w:r>
        <w:t>Inputs and parameters</w:t>
      </w:r>
    </w:p>
    <w:p>
      <w:r>
        <w:t>All adjustable inputs are listed below. For most clients, the safest approach is to keep defaults unless instructed otherwise.</w:t>
      </w:r>
    </w:p>
    <w:p>
      <w:pPr>
        <w:pStyle w:val="Heading2"/>
      </w:pPr>
      <w:r>
        <w:t>Identification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Parameter</w:t>
            </w:r>
          </w:p>
        </w:tc>
        <w:tc>
          <w:tcPr>
            <w:tcW w:type="dxa" w:w="2160"/>
          </w:tcPr>
          <w:p>
            <w:r>
              <w:t>Type</w:t>
            </w:r>
          </w:p>
        </w:tc>
        <w:tc>
          <w:tcPr>
            <w:tcW w:type="dxa" w:w="2160"/>
          </w:tcPr>
          <w:p>
            <w:r>
              <w:t>Default</w:t>
            </w:r>
          </w:p>
        </w:tc>
        <w:tc>
          <w:tcPr>
            <w:tcW w:type="dxa" w:w="2160"/>
          </w:tcPr>
          <w:p>
            <w:r>
              <w:t>What it does</w:t>
            </w:r>
          </w:p>
        </w:tc>
      </w:tr>
      <w:tr>
        <w:tc>
          <w:tcPr>
            <w:tcW w:type="dxa" w:w="2160"/>
          </w:tcPr>
          <w:p>
            <w:r>
              <w:t>CustomComment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"Guardian_Pro_GBPUSD1_v3_1"</w:t>
            </w:r>
          </w:p>
        </w:tc>
        <w:tc>
          <w:tcPr>
            <w:tcW w:type="dxa" w:w="2160"/>
          </w:tcPr>
          <w:p>
            <w:r>
              <w:t>Trade comment label shown in the terminal/history. You can customise this for easier tracking.</w:t>
            </w:r>
          </w:p>
        </w:tc>
      </w:tr>
      <w:tr>
        <w:tc>
          <w:tcPr>
            <w:tcW w:type="dxa" w:w="2160"/>
          </w:tcPr>
          <w:p>
            <w:r>
              <w:t>StrategyID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12353</w:t>
            </w:r>
          </w:p>
        </w:tc>
        <w:tc>
          <w:tcPr>
            <w:tcW w:type="dxa" w:w="2160"/>
          </w:tcPr>
          <w:p>
            <w:r>
              <w:t>Internal strategy ID used to distinguish trades. Leave default unless you run multiple copies and need unique IDs.</w:t>
            </w:r>
          </w:p>
        </w:tc>
      </w:tr>
    </w:tbl>
    <w:p/>
    <w:p>
      <w:pPr>
        <w:pStyle w:val="Heading2"/>
      </w:pPr>
      <w:r>
        <w:t>Execution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Parameter</w:t>
            </w:r>
          </w:p>
        </w:tc>
        <w:tc>
          <w:tcPr>
            <w:tcW w:type="dxa" w:w="2160"/>
          </w:tcPr>
          <w:p>
            <w:r>
              <w:t>Type</w:t>
            </w:r>
          </w:p>
        </w:tc>
        <w:tc>
          <w:tcPr>
            <w:tcW w:type="dxa" w:w="2160"/>
          </w:tcPr>
          <w:p>
            <w:r>
              <w:t>Default</w:t>
            </w:r>
          </w:p>
        </w:tc>
        <w:tc>
          <w:tcPr>
            <w:tcW w:type="dxa" w:w="2160"/>
          </w:tcPr>
          <w:p>
            <w:r>
              <w:t>What it does</w:t>
            </w:r>
          </w:p>
        </w:tc>
      </w:tr>
      <w:tr>
        <w:tc>
          <w:tcPr>
            <w:tcW w:type="dxa" w:w="2160"/>
          </w:tcPr>
          <w:p>
            <w:r>
              <w:t>preferredFillingType</w:t>
            </w:r>
          </w:p>
        </w:tc>
        <w:tc>
          <w:tcPr>
            <w:tcW w:type="dxa" w:w="2160"/>
          </w:tcPr>
          <w:p>
            <w:r>
              <w:t>ENUM_ORDER_TYPE_FILLING</w:t>
            </w:r>
          </w:p>
        </w:tc>
        <w:tc>
          <w:tcPr>
            <w:tcW w:type="dxa" w:w="2160"/>
          </w:tcPr>
          <w:p>
            <w:r>
              <w:t>ORDER_FILLING_FOK</w:t>
            </w:r>
          </w:p>
        </w:tc>
        <w:tc>
          <w:tcPr>
            <w:tcW w:type="dxa" w:w="2160"/>
          </w:tcPr>
          <w:p>
            <w:r>
              <w:t>Order filling preference. Leave default unless your broker requires a different filling mode.</w:t>
            </w:r>
          </w:p>
        </w:tc>
      </w:tr>
      <w:tr>
        <w:tc>
          <w:tcPr>
            <w:tcW w:type="dxa" w:w="2160"/>
          </w:tcPr>
          <w:p>
            <w:r>
              <w:t>forceFillingType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false</w:t>
            </w:r>
          </w:p>
        </w:tc>
        <w:tc>
          <w:tcPr>
            <w:tcW w:type="dxa" w:w="2160"/>
          </w:tcPr>
          <w:p>
            <w:r>
              <w:t>If true, forces the filling mode above. Usually leave false.</w:t>
            </w:r>
          </w:p>
        </w:tc>
      </w:tr>
    </w:tbl>
    <w:p/>
    <w:p>
      <w:pPr>
        <w:pStyle w:val="Heading2"/>
      </w:pPr>
      <w:r>
        <w:t>Risk &amp; position sizing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Parameter</w:t>
            </w:r>
          </w:p>
        </w:tc>
        <w:tc>
          <w:tcPr>
            <w:tcW w:type="dxa" w:w="2160"/>
          </w:tcPr>
          <w:p>
            <w:r>
              <w:t>Type</w:t>
            </w:r>
          </w:p>
        </w:tc>
        <w:tc>
          <w:tcPr>
            <w:tcW w:type="dxa" w:w="2160"/>
          </w:tcPr>
          <w:p>
            <w:r>
              <w:t>Default</w:t>
            </w:r>
          </w:p>
        </w:tc>
        <w:tc>
          <w:tcPr>
            <w:tcW w:type="dxa" w:w="2160"/>
          </w:tcPr>
          <w:p>
            <w:r>
              <w:t>What it does</w:t>
            </w:r>
          </w:p>
        </w:tc>
      </w:tr>
      <w:tr>
        <w:tc>
          <w:tcPr>
            <w:tcW w:type="dxa" w:w="2160"/>
          </w:tcPr>
          <w:p>
            <w:r>
              <w:t>UseMoneyManagement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true</w:t>
            </w:r>
          </w:p>
        </w:tc>
        <w:tc>
          <w:tcPr>
            <w:tcW w:type="dxa" w:w="2160"/>
          </w:tcPr>
          <w:p>
            <w:r>
              <w:t>On/off switch for a feature or filter. Leave default unless you know why you’re changing it.</w:t>
            </w:r>
          </w:p>
        </w:tc>
      </w:tr>
      <w:tr>
        <w:tc>
          <w:tcPr>
            <w:tcW w:type="dxa" w:w="2160"/>
          </w:tcPr>
          <w:p>
            <w:r>
              <w:t>mmRiskPercent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1.0</w:t>
            </w:r>
          </w:p>
        </w:tc>
        <w:tc>
          <w:tcPr>
            <w:tcW w:type="dxa" w:w="2160"/>
          </w:tcPr>
          <w:p>
            <w:r>
              <w:t>Risk setting used for position sizing (if this EA uses risk-based lots).</w:t>
            </w:r>
          </w:p>
        </w:tc>
      </w:tr>
      <w:tr>
        <w:tc>
          <w:tcPr>
            <w:tcW w:type="dxa" w:w="2160"/>
          </w:tcPr>
          <w:p>
            <w:r>
              <w:t>mmLotsIfNoMM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0.1</w:t>
            </w:r>
          </w:p>
        </w:tc>
        <w:tc>
          <w:tcPr>
            <w:tcW w:type="dxa" w:w="2160"/>
          </w:tcPr>
          <w:p>
            <w:r>
              <w:t>Fixed position size (lots) if the EA is set to use fixed lots.</w:t>
            </w:r>
          </w:p>
        </w:tc>
      </w:tr>
      <w:tr>
        <w:tc>
          <w:tcPr>
            <w:tcW w:type="dxa" w:w="2160"/>
          </w:tcPr>
          <w:p>
            <w:r>
              <w:t>mmMaxLots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5.0</w:t>
            </w:r>
          </w:p>
        </w:tc>
        <w:tc>
          <w:tcPr>
            <w:tcW w:type="dxa" w:w="2160"/>
          </w:tcPr>
          <w:p>
            <w:r>
              <w:t>Fixed position size (lots) if the EA is set to use fixed lots.</w:t>
            </w:r>
          </w:p>
        </w:tc>
      </w:tr>
    </w:tbl>
    <w:p/>
    <w:p>
      <w:pPr>
        <w:pStyle w:val="Heading2"/>
      </w:pPr>
      <w:r>
        <w:t>Trade management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Parameter</w:t>
            </w:r>
          </w:p>
        </w:tc>
        <w:tc>
          <w:tcPr>
            <w:tcW w:type="dxa" w:w="2160"/>
          </w:tcPr>
          <w:p>
            <w:r>
              <w:t>Type</w:t>
            </w:r>
          </w:p>
        </w:tc>
        <w:tc>
          <w:tcPr>
            <w:tcW w:type="dxa" w:w="2160"/>
          </w:tcPr>
          <w:p>
            <w:r>
              <w:t>Default</w:t>
            </w:r>
          </w:p>
        </w:tc>
        <w:tc>
          <w:tcPr>
            <w:tcW w:type="dxa" w:w="2160"/>
          </w:tcPr>
          <w:p>
            <w:r>
              <w:t>What it does</w:t>
            </w:r>
          </w:p>
        </w:tc>
      </w:tr>
      <w:tr>
        <w:tc>
          <w:tcPr>
            <w:tcW w:type="dxa" w:w="2160"/>
          </w:tcPr>
          <w:p>
            <w:r>
              <w:t>StopLoss1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100.77</w:t>
            </w:r>
          </w:p>
        </w:tc>
        <w:tc>
          <w:tcPr>
            <w:tcW w:type="dxa" w:w="2160"/>
          </w:tcPr>
          <w:p>
            <w:r>
              <w:t>Stop-loss setting. Higher values generally mean more room per trade, but larger potential drawdowns.</w:t>
            </w:r>
          </w:p>
        </w:tc>
      </w:tr>
      <w:tr>
        <w:tc>
          <w:tcPr>
            <w:tcW w:type="dxa" w:w="2160"/>
          </w:tcPr>
          <w:p>
            <w:r>
              <w:t>StopLoss2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78.39</w:t>
            </w:r>
          </w:p>
        </w:tc>
        <w:tc>
          <w:tcPr>
            <w:tcW w:type="dxa" w:w="2160"/>
          </w:tcPr>
          <w:p>
            <w:r>
              <w:t>Stop-loss setting. Higher values generally mean more room per trade, but larger potential drawdowns.</w:t>
            </w:r>
          </w:p>
        </w:tc>
      </w:tr>
    </w:tbl>
    <w:p/>
    <w:p>
      <w:pPr>
        <w:pStyle w:val="Heading2"/>
      </w:pPr>
      <w:r>
        <w:t>Time filters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Parameter</w:t>
            </w:r>
          </w:p>
        </w:tc>
        <w:tc>
          <w:tcPr>
            <w:tcW w:type="dxa" w:w="2160"/>
          </w:tcPr>
          <w:p>
            <w:r>
              <w:t>Type</w:t>
            </w:r>
          </w:p>
        </w:tc>
        <w:tc>
          <w:tcPr>
            <w:tcW w:type="dxa" w:w="2160"/>
          </w:tcPr>
          <w:p>
            <w:r>
              <w:t>Default</w:t>
            </w:r>
          </w:p>
        </w:tc>
        <w:tc>
          <w:tcPr>
            <w:tcW w:type="dxa" w:w="2160"/>
          </w:tcPr>
          <w:p>
            <w:r>
              <w:t>What it does</w:t>
            </w:r>
          </w:p>
        </w:tc>
      </w:tr>
      <w:tr>
        <w:tc>
          <w:tcPr>
            <w:tcW w:type="dxa" w:w="2160"/>
          </w:tcPr>
          <w:p>
            <w:r>
              <w:t>FridayCloseTime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"00:38"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  <w:tr>
        <w:tc>
          <w:tcPr>
            <w:tcW w:type="dxa" w:w="2160"/>
          </w:tcPr>
          <w:p>
            <w:r>
              <w:t>SundayOpenTime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"00:38"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  <w:tr>
        <w:tc>
          <w:tcPr>
            <w:tcW w:type="dxa" w:w="2160"/>
          </w:tcPr>
          <w:p>
            <w:r>
              <w:t>ExitAtEndOfDay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false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EODExitTime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"23:04"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  <w:tr>
        <w:tc>
          <w:tcPr>
            <w:tcW w:type="dxa" w:w="2160"/>
          </w:tcPr>
          <w:p>
            <w:r>
              <w:t>ExitOnFriday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true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FridayExitTime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"21:00"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  <w:tr>
        <w:tc>
          <w:tcPr>
            <w:tcW w:type="dxa" w:w="2160"/>
          </w:tcPr>
          <w:p>
            <w:r>
              <w:t>LimitTimeRange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true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  <w:tr>
        <w:tc>
          <w:tcPr>
            <w:tcW w:type="dxa" w:w="2160"/>
          </w:tcPr>
          <w:p>
            <w:r>
              <w:t>SignalTimeRangeFrom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"03:00"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  <w:tr>
        <w:tc>
          <w:tcPr>
            <w:tcW w:type="dxa" w:w="2160"/>
          </w:tcPr>
          <w:p>
            <w:r>
              <w:t>SignalTimeRangeTo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"20:00"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  <w:tr>
        <w:tc>
          <w:tcPr>
            <w:tcW w:type="dxa" w:w="2160"/>
          </w:tcPr>
          <w:p>
            <w:r>
              <w:t>MaxTradesPerDay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0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Subchart1Timeframe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60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  <w:tr>
        <w:tc>
          <w:tcPr>
            <w:tcW w:type="dxa" w:w="2160"/>
          </w:tcPr>
          <w:p>
            <w:r>
              <w:t>tradeInSessionHoursOnly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true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  <w:tr>
        <w:tc>
          <w:tcPr>
            <w:tcW w:type="dxa" w:w="2160"/>
          </w:tcPr>
          <w:p>
            <w:r>
              <w:t>ExpirationTime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0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</w:tbl>
    <w:p/>
    <w:p>
      <w:pPr>
        <w:pStyle w:val="Heading2"/>
      </w:pPr>
      <w:r>
        <w:t>Filters &amp; switches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Parameter</w:t>
            </w:r>
          </w:p>
        </w:tc>
        <w:tc>
          <w:tcPr>
            <w:tcW w:type="dxa" w:w="2160"/>
          </w:tcPr>
          <w:p>
            <w:r>
              <w:t>Type</w:t>
            </w:r>
          </w:p>
        </w:tc>
        <w:tc>
          <w:tcPr>
            <w:tcW w:type="dxa" w:w="2160"/>
          </w:tcPr>
          <w:p>
            <w:r>
              <w:t>Default</w:t>
            </w:r>
          </w:p>
        </w:tc>
        <w:tc>
          <w:tcPr>
            <w:tcW w:type="dxa" w:w="2160"/>
          </w:tcPr>
          <w:p>
            <w:r>
              <w:t>What it does</w:t>
            </w:r>
          </w:p>
        </w:tc>
      </w:tr>
      <w:tr>
        <w:tc>
          <w:tcPr>
            <w:tcW w:type="dxa" w:w="2160"/>
          </w:tcPr>
          <w:p>
            <w:r>
              <w:t>UseSQTickSize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false</w:t>
            </w:r>
          </w:p>
        </w:tc>
        <w:tc>
          <w:tcPr>
            <w:tcW w:type="dxa" w:w="2160"/>
          </w:tcPr>
          <w:p>
            <w:r>
              <w:t>On/off switch for a feature or filter. Leave default unless you know why you’re changing it.</w:t>
            </w:r>
          </w:p>
        </w:tc>
      </w:tr>
    </w:tbl>
    <w:p/>
    <w:p>
      <w:pPr>
        <w:pStyle w:val="Heading2"/>
      </w:pPr>
      <w:r>
        <w:t>Strategy / indicator settings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Parameter</w:t>
            </w:r>
          </w:p>
        </w:tc>
        <w:tc>
          <w:tcPr>
            <w:tcW w:type="dxa" w:w="2160"/>
          </w:tcPr>
          <w:p>
            <w:r>
              <w:t>Type</w:t>
            </w:r>
          </w:p>
        </w:tc>
        <w:tc>
          <w:tcPr>
            <w:tcW w:type="dxa" w:w="2160"/>
          </w:tcPr>
          <w:p>
            <w:r>
              <w:t>Default</w:t>
            </w:r>
          </w:p>
        </w:tc>
        <w:tc>
          <w:tcPr>
            <w:tcW w:type="dxa" w:w="2160"/>
          </w:tcPr>
          <w:p>
            <w:r>
              <w:t>What it does</w:t>
            </w:r>
          </w:p>
        </w:tc>
      </w:tr>
      <w:tr>
        <w:tc>
          <w:tcPr>
            <w:tcW w:type="dxa" w:w="2160"/>
          </w:tcPr>
          <w:p>
            <w:r>
              <w:t>ADXRisingPeriod1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47</w:t>
            </w:r>
          </w:p>
        </w:tc>
        <w:tc>
          <w:tcPr>
            <w:tcW w:type="dxa" w:w="2160"/>
          </w:tcPr>
          <w:p>
            <w:r>
              <w:t>ADXRisingPeriod1</w:t>
            </w:r>
          </w:p>
        </w:tc>
      </w:tr>
      <w:tr>
        <w:tc>
          <w:tcPr>
            <w:tcW w:type="dxa" w:w="2160"/>
          </w:tcPr>
          <w:p>
            <w:r>
              <w:t>FastVWPSlwVWPFstPrd1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37</w:t>
            </w:r>
          </w:p>
        </w:tc>
        <w:tc>
          <w:tcPr>
            <w:tcW w:type="dxa" w:w="2160"/>
          </w:tcPr>
          <w:p>
            <w:r>
              <w:t>FastVWPSlwVWPFstPrd1</w:t>
            </w:r>
          </w:p>
        </w:tc>
      </w:tr>
      <w:tr>
        <w:tc>
          <w:tcPr>
            <w:tcW w:type="dxa" w:w="2160"/>
          </w:tcPr>
          <w:p>
            <w:r>
              <w:t>FastVWPSlwVWPSlwPrd1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50</w:t>
            </w:r>
          </w:p>
        </w:tc>
        <w:tc>
          <w:tcPr>
            <w:tcW w:type="dxa" w:w="2160"/>
          </w:tcPr>
          <w:p>
            <w:r>
              <w:t>FastVWPSlwVWPSlwPrd1</w:t>
            </w:r>
          </w:p>
        </w:tc>
      </w:tr>
      <w:tr>
        <w:tc>
          <w:tcPr>
            <w:tcW w:type="dxa" w:w="2160"/>
          </w:tcPr>
          <w:p>
            <w:r>
              <w:t>ADXRisingPeriod2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24</w:t>
            </w:r>
          </w:p>
        </w:tc>
        <w:tc>
          <w:tcPr>
            <w:tcW w:type="dxa" w:w="2160"/>
          </w:tcPr>
          <w:p>
            <w:r>
              <w:t>ADXRisingPeriod2</w:t>
            </w:r>
          </w:p>
        </w:tc>
      </w:tr>
      <w:tr>
        <w:tc>
          <w:tcPr>
            <w:tcW w:type="dxa" w:w="2160"/>
          </w:tcPr>
          <w:p>
            <w:r>
              <w:t>KCBarOpenserPeriod1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16</w:t>
            </w:r>
          </w:p>
        </w:tc>
        <w:tc>
          <w:tcPr>
            <w:tcW w:type="dxa" w:w="2160"/>
          </w:tcPr>
          <w:p>
            <w:r>
              <w:t>KCBarOpenserPeriod1</w:t>
            </w:r>
          </w:p>
        </w:tc>
      </w:tr>
      <w:tr>
        <w:tc>
          <w:tcPr>
            <w:tcW w:type="dxa" w:w="2160"/>
          </w:tcPr>
          <w:p>
            <w:r>
              <w:t>MACDMainFast1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17</w:t>
            </w:r>
          </w:p>
        </w:tc>
        <w:tc>
          <w:tcPr>
            <w:tcW w:type="dxa" w:w="2160"/>
          </w:tcPr>
          <w:p>
            <w:r>
              <w:t>MACDMainFast1</w:t>
            </w:r>
          </w:p>
        </w:tc>
      </w:tr>
      <w:tr>
        <w:tc>
          <w:tcPr>
            <w:tcW w:type="dxa" w:w="2160"/>
          </w:tcPr>
          <w:p>
            <w:r>
              <w:t>MACDMainSlow1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19</w:t>
            </w:r>
          </w:p>
        </w:tc>
        <w:tc>
          <w:tcPr>
            <w:tcW w:type="dxa" w:w="2160"/>
          </w:tcPr>
          <w:p>
            <w:r>
              <w:t>MACDMainSlow1</w:t>
            </w:r>
          </w:p>
        </w:tc>
      </w:tr>
      <w:tr>
        <w:tc>
          <w:tcPr>
            <w:tcW w:type="dxa" w:w="2160"/>
          </w:tcPr>
          <w:p>
            <w:r>
              <w:t>MACDMainSmooth1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51</w:t>
            </w:r>
          </w:p>
        </w:tc>
        <w:tc>
          <w:tcPr>
            <w:tcW w:type="dxa" w:w="2160"/>
          </w:tcPr>
          <w:p>
            <w:r>
              <w:t>MACDMainSmooth1</w:t>
            </w:r>
          </w:p>
        </w:tc>
      </w:tr>
      <w:tr>
        <w:tc>
          <w:tcPr>
            <w:tcW w:type="dxa" w:w="2160"/>
          </w:tcPr>
          <w:p>
            <w:r>
              <w:t>ADXCrossUpPeriod1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49</w:t>
            </w:r>
          </w:p>
        </w:tc>
        <w:tc>
          <w:tcPr>
            <w:tcW w:type="dxa" w:w="2160"/>
          </w:tcPr>
          <w:p>
            <w:r>
              <w:t>ADXCrossUpPeriod1</w:t>
            </w:r>
          </w:p>
        </w:tc>
      </w:tr>
      <w:tr>
        <w:tc>
          <w:tcPr>
            <w:tcW w:type="dxa" w:w="2160"/>
          </w:tcPr>
          <w:p>
            <w:r>
              <w:t>MoveSL2BE1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60</w:t>
            </w:r>
          </w:p>
        </w:tc>
        <w:tc>
          <w:tcPr>
            <w:tcW w:type="dxa" w:w="2160"/>
          </w:tcPr>
          <w:p>
            <w:r>
              <w:t>MoveSL2BE1</w:t>
            </w:r>
          </w:p>
        </w:tc>
      </w:tr>
      <w:tr>
        <w:tc>
          <w:tcPr>
            <w:tcW w:type="dxa" w:w="2160"/>
          </w:tcPr>
          <w:p>
            <w:r>
              <w:t>SL2BEAddPips1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25</w:t>
            </w:r>
          </w:p>
        </w:tc>
        <w:tc>
          <w:tcPr>
            <w:tcW w:type="dxa" w:w="2160"/>
          </w:tcPr>
          <w:p>
            <w:r>
              <w:t>SL2BEAddPips1</w:t>
            </w:r>
          </w:p>
        </w:tc>
      </w:tr>
      <w:tr>
        <w:tc>
          <w:tcPr>
            <w:tcW w:type="dxa" w:w="2160"/>
          </w:tcPr>
          <w:p>
            <w:r>
              <w:t>ProfitTarget1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59.73</w:t>
            </w:r>
          </w:p>
        </w:tc>
        <w:tc>
          <w:tcPr>
            <w:tcW w:type="dxa" w:w="2160"/>
          </w:tcPr>
          <w:p>
            <w:r>
              <w:t>ProfitTarget1</w:t>
            </w:r>
          </w:p>
        </w:tc>
      </w:tr>
      <w:tr>
        <w:tc>
          <w:tcPr>
            <w:tcW w:type="dxa" w:w="2160"/>
          </w:tcPr>
          <w:p>
            <w:r>
              <w:t>ProfitTarget2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68.26</w:t>
            </w:r>
          </w:p>
        </w:tc>
        <w:tc>
          <w:tcPr>
            <w:tcW w:type="dxa" w:w="2160"/>
          </w:tcPr>
          <w:p>
            <w:r>
              <w:t>ProfitTarget2</w:t>
            </w:r>
          </w:p>
        </w:tc>
      </w:tr>
      <w:tr>
        <w:tc>
          <w:tcPr>
            <w:tcW w:type="dxa" w:w="2160"/>
          </w:tcPr>
          <w:p>
            <w:r>
              <w:t>smm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Money Management - Risk Fixed % Of Balance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mmDecimals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2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mmMultiplier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1.0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mmStep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0.01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InitialCapital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10000</w:t>
            </w:r>
          </w:p>
        </w:tc>
        <w:tc>
          <w:tcPr>
            <w:tcW w:type="dxa" w:w="2160"/>
          </w:tcPr>
          <w:p>
            <w:r>
              <w:t>InitialCapital (0 means whole account balance). Used in some MM methods.</w:t>
            </w:r>
          </w:p>
        </w:tc>
      </w:tr>
      <w:tr>
        <w:tc>
          <w:tcPr>
            <w:tcW w:type="dxa" w:w="2160"/>
          </w:tcPr>
          <w:p>
            <w:r>
              <w:t>sdtw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Dont Trade On Weekends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DontTradeOnWeekends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false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seod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Exit At End Of Day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seof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Exit On Friday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sltr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Limit Time Range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ExitAtEndOfRange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false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OrderTypeToExit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0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smmmdfmp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Max distance from market price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LimitMaxDistanceFromMarketPrice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false</w:t>
            </w:r>
          </w:p>
        </w:tc>
        <w:tc>
          <w:tcPr>
            <w:tcW w:type="dxa" w:w="2160"/>
          </w:tcPr>
          <w:p>
            <w:r>
              <w:t>Limit max distance</w:t>
            </w:r>
          </w:p>
        </w:tc>
      </w:tr>
      <w:tr>
        <w:tc>
          <w:tcPr>
            <w:tcW w:type="dxa" w:w="2160"/>
          </w:tcPr>
          <w:p>
            <w:r>
              <w:t>MaxDistanceFromMarketPct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6</w:t>
            </w:r>
          </w:p>
        </w:tc>
        <w:tc>
          <w:tcPr>
            <w:tcW w:type="dxa" w:w="2160"/>
          </w:tcPr>
          <w:p>
            <w:r>
              <w:t>Max distance %</w:t>
            </w:r>
          </w:p>
        </w:tc>
      </w:tr>
      <w:tr>
        <w:tc>
          <w:tcPr>
            <w:tcW w:type="dxa" w:w="2160"/>
          </w:tcPr>
          <w:p>
            <w:r>
              <w:t>smtpd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Max Trades Per Day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smmslpt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Min/Max SL/PT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MinimumSL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0</w:t>
            </w:r>
          </w:p>
        </w:tc>
        <w:tc>
          <w:tcPr>
            <w:tcW w:type="dxa" w:w="2160"/>
          </w:tcPr>
          <w:p>
            <w:r>
              <w:t>Minimum SL in pips</w:t>
            </w:r>
          </w:p>
        </w:tc>
      </w:tr>
      <w:tr>
        <w:tc>
          <w:tcPr>
            <w:tcW w:type="dxa" w:w="2160"/>
          </w:tcPr>
          <w:p>
            <w:r>
              <w:t>MinimumPT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0</w:t>
            </w:r>
          </w:p>
        </w:tc>
        <w:tc>
          <w:tcPr>
            <w:tcW w:type="dxa" w:w="2160"/>
          </w:tcPr>
          <w:p>
            <w:r>
              <w:t>Minimum PT in pips</w:t>
            </w:r>
          </w:p>
        </w:tc>
      </w:tr>
      <w:tr>
        <w:tc>
          <w:tcPr>
            <w:tcW w:type="dxa" w:w="2160"/>
          </w:tcPr>
          <w:p>
            <w:r>
              <w:t>MaximumSL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0</w:t>
            </w:r>
          </w:p>
        </w:tc>
        <w:tc>
          <w:tcPr>
            <w:tcW w:type="dxa" w:w="2160"/>
          </w:tcPr>
          <w:p>
            <w:r>
              <w:t>Maximum SL in pips</w:t>
            </w:r>
          </w:p>
        </w:tc>
      </w:tr>
      <w:tr>
        <w:tc>
          <w:tcPr>
            <w:tcW w:type="dxa" w:w="2160"/>
          </w:tcPr>
          <w:p>
            <w:r>
              <w:t>MaximumPT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0</w:t>
            </w:r>
          </w:p>
        </w:tc>
        <w:tc>
          <w:tcPr>
            <w:tcW w:type="dxa" w:w="2160"/>
          </w:tcPr>
          <w:p>
            <w:r>
              <w:t>Maximum PT in pips</w:t>
            </w:r>
          </w:p>
        </w:tc>
      </w:tr>
      <w:tr>
        <w:tc>
          <w:tcPr>
            <w:tcW w:type="dxa" w:w="2160"/>
          </w:tcPr>
          <w:p>
            <w:r>
              <w:t>slts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Use Tick size from SQ (for CFDs)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MainChartTickSizeSQ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1.0E-4</w:t>
            </w:r>
          </w:p>
        </w:tc>
        <w:tc>
          <w:tcPr>
            <w:tcW w:type="dxa" w:w="2160"/>
          </w:tcPr>
          <w:p>
            <w:r>
              <w:t>MainChartPipSizeSQ</w:t>
            </w:r>
          </w:p>
        </w:tc>
      </w:tr>
      <w:tr>
        <w:tc>
          <w:tcPr>
            <w:tcW w:type="dxa" w:w="2160"/>
          </w:tcPr>
          <w:p>
            <w:r>
              <w:t>Subchart1Symbol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"Same as main chart"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Subchart1TickSizeSQ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1.0E-4</w:t>
            </w:r>
          </w:p>
        </w:tc>
        <w:tc>
          <w:tcPr>
            <w:tcW w:type="dxa" w:w="2160"/>
          </w:tcPr>
          <w:p>
            <w:r>
              <w:t>Subchart1PipSizeSQ</w:t>
            </w:r>
          </w:p>
        </w:tc>
      </w:tr>
      <w:tr>
        <w:tc>
          <w:tcPr>
            <w:tcW w:type="dxa" w:w="2160"/>
          </w:tcPr>
          <w:p>
            <w:r>
              <w:t>MAX_ORDER_RETRIES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20</w:t>
            </w:r>
          </w:p>
        </w:tc>
        <w:tc>
          <w:tcPr>
            <w:tcW w:type="dxa" w:w="2160"/>
          </w:tcPr>
          <w:p>
            <w:r>
              <w:t>Max retries when placing orders. Zero means no retries</w:t>
            </w:r>
          </w:p>
        </w:tc>
      </w:tr>
      <w:tr>
        <w:tc>
          <w:tcPr>
            <w:tcW w:type="dxa" w:w="2160"/>
          </w:tcPr>
          <w:p>
            <w:r>
              <w:t>OpenBarDelay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0</w:t>
            </w:r>
          </w:p>
        </w:tc>
        <w:tc>
          <w:tcPr>
            <w:tcW w:type="dxa" w:w="2160"/>
          </w:tcPr>
          <w:p>
            <w:r>
              <w:t>Open bar delay in minutes</w:t>
            </w:r>
          </w:p>
        </w:tc>
      </w:tr>
      <w:tr>
        <w:tc>
          <w:tcPr>
            <w:tcW w:type="dxa" w:w="2160"/>
          </w:tcPr>
          <w:p>
            <w:r>
              <w:t>slex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Order expiration time (for stocks)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ModifyInsteadOfReplacing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false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</w:tbl>
    <w:p/>
    <w:p>
      <w:pPr>
        <w:pStyle w:val="Heading1"/>
      </w:pPr>
      <w:r>
        <w:t>Notes for running multiple EAs</w:t>
      </w:r>
    </w:p>
    <w:p>
      <w:r>
        <w:t>If you run multiple EAs (or multiple copies of the same EA) on the same account, each one should have a unique StrategyID and a unique CustomComment so trades can be tracked cleanly.</w:t>
      </w:r>
    </w:p>
    <w:p>
      <w:pPr>
        <w:pStyle w:val="Heading1"/>
      </w:pPr>
      <w:r>
        <w:t>Troubleshooting</w:t>
      </w:r>
    </w:p>
    <w:p>
      <w:r>
        <w:t>If the EA does not trade:</w:t>
      </w:r>
    </w:p>
    <w:p>
      <w:pPr>
        <w:pStyle w:val="ListBullet"/>
      </w:pPr>
      <w:r>
        <w:t>Confirm you are on the correct symbol and M5 timeframe.</w:t>
      </w:r>
    </w:p>
    <w:p>
      <w:pPr>
        <w:pStyle w:val="ListBullet"/>
      </w:pPr>
      <w:r>
        <w:t>Confirm Algo Trading is enabled globally and in the EA’s Common tab.</w:t>
      </w:r>
    </w:p>
    <w:p>
      <w:pPr>
        <w:pStyle w:val="ListBullet"/>
      </w:pPr>
      <w:r>
        <w:t>Check Journal/Experts for errors (e.g., invalid volume, market closed, symbol not found).</w:t>
      </w:r>
    </w:p>
    <w:p>
      <w:pPr>
        <w:pStyle w:val="ListBullet"/>
      </w:pPr>
      <w:r>
        <w:t>Ensure your broker allows automated trading and the account has sufficient margin.</w:t>
      </w:r>
    </w:p>
    <w:p>
      <w:pPr>
        <w:pStyle w:val="ListBullet"/>
      </w:pPr>
      <w:r>
        <w:t>If spread filtering is enabled, high spread conditions can block new trades.</w:t>
      </w:r>
    </w:p>
    <w:p/>
    <w:p>
      <w:r>
        <w:t>Document generated on 2026-02-18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 w:eastAsia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365F91" w:themeColor="accent1" w:themeShade="BF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4F81BD" w:themeColor="accent1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4F81BD" w:themeColor="accent1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